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9B190" w14:textId="0CEC1BAF" w:rsidR="009B77A6" w:rsidRPr="00EE5B0D" w:rsidRDefault="009B77A6" w:rsidP="009B77A6">
      <w:pPr>
        <w:spacing w:before="48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EE5B0D">
        <w:rPr>
          <w:rFonts w:ascii="Arial" w:hAnsi="Arial" w:cs="Arial"/>
          <w:b/>
          <w:caps/>
          <w:sz w:val="20"/>
          <w:szCs w:val="20"/>
        </w:rPr>
        <w:t xml:space="preserve">techniniai reikalavimai 400-110 </w:t>
      </w:r>
      <w:r w:rsidRPr="00EE5B0D">
        <w:rPr>
          <w:rFonts w:ascii="Arial" w:hAnsi="Arial" w:cs="Arial"/>
          <w:b/>
          <w:sz w:val="20"/>
          <w:szCs w:val="20"/>
        </w:rPr>
        <w:t>k</w:t>
      </w:r>
      <w:r w:rsidRPr="00EE5B0D">
        <w:rPr>
          <w:rFonts w:ascii="Arial" w:hAnsi="Arial" w:cs="Arial"/>
          <w:b/>
          <w:caps/>
          <w:sz w:val="20"/>
          <w:szCs w:val="20"/>
        </w:rPr>
        <w:t>V įtampos oro linijų</w:t>
      </w:r>
      <w:r w:rsidRPr="00EE5B0D">
        <w:rPr>
          <w:rFonts w:ascii="Arial" w:hAnsi="Arial" w:cs="Arial"/>
          <w:b/>
          <w:sz w:val="20"/>
          <w:szCs w:val="20"/>
        </w:rPr>
        <w:t xml:space="preserve"> ALIUMININIUS SU PLIENINIŲ VIJŲ ŠERDIMI LAID</w:t>
      </w:r>
      <w:r w:rsidRPr="00EE5B0D">
        <w:rPr>
          <w:rFonts w:ascii="Arial" w:hAnsi="Arial" w:cs="Arial"/>
          <w:b/>
          <w:caps/>
          <w:sz w:val="20"/>
          <w:szCs w:val="20"/>
        </w:rPr>
        <w:t>us LAiKANTIEmS gnybtams /</w:t>
      </w:r>
    </w:p>
    <w:p w14:paraId="752AE11A" w14:textId="58EEAD83" w:rsidR="009B77A6" w:rsidRPr="00EE5B0D" w:rsidRDefault="009B77A6" w:rsidP="009B77A6">
      <w:pPr>
        <w:spacing w:after="24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EE5B0D">
        <w:rPr>
          <w:rFonts w:ascii="Arial" w:hAnsi="Arial" w:cs="Arial"/>
          <w:b/>
          <w:caps/>
          <w:sz w:val="20"/>
          <w:szCs w:val="20"/>
        </w:rPr>
        <w:t xml:space="preserve">technical requirements for </w:t>
      </w:r>
      <w:r w:rsidR="000300E8" w:rsidRPr="00EE5B0D">
        <w:rPr>
          <w:rFonts w:ascii="Arial" w:hAnsi="Arial" w:cs="Arial"/>
          <w:b/>
          <w:sz w:val="20"/>
          <w:szCs w:val="20"/>
        </w:rPr>
        <w:t xml:space="preserve">400-110 </w:t>
      </w:r>
      <w:r w:rsidR="00CA2F9F" w:rsidRPr="00EE5B0D">
        <w:rPr>
          <w:rFonts w:ascii="Arial" w:hAnsi="Arial" w:cs="Arial"/>
          <w:b/>
          <w:sz w:val="20"/>
          <w:szCs w:val="20"/>
        </w:rPr>
        <w:t>KV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EE5B0D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Eil. </w:t>
            </w:r>
            <w:r w:rsidR="001E3AA5" w:rsidRPr="00EE5B0D">
              <w:rPr>
                <w:rFonts w:ascii="Arial" w:hAnsi="Arial" w:cs="Arial"/>
                <w:sz w:val="20"/>
                <w:szCs w:val="20"/>
              </w:rPr>
              <w:t>Nr./</w:t>
            </w:r>
          </w:p>
          <w:p w14:paraId="47FC032D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bCs/>
                <w:sz w:val="20"/>
                <w:szCs w:val="20"/>
              </w:rPr>
              <w:t>Siūlomo</w:t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Eligibility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confirmation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proposed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</w:tr>
      <w:tr w:rsidR="000B657E" w:rsidRPr="00EE5B0D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5B0D">
              <w:rPr>
                <w:rFonts w:ascii="Arial" w:hAnsi="Arial" w:cs="Arial"/>
                <w:bCs/>
                <w:sz w:val="20"/>
                <w:szCs w:val="20"/>
              </w:rPr>
              <w:t xml:space="preserve">Atitikimą patvirtinanti parametro </w:t>
            </w:r>
            <w:r w:rsidRPr="00EE5B0D">
              <w:rPr>
                <w:rFonts w:ascii="Arial" w:hAnsi="Arial" w:cs="Arial"/>
                <w:sz w:val="20"/>
                <w:szCs w:val="20"/>
              </w:rPr>
              <w:t>(mato vnt.)</w:t>
            </w:r>
            <w:r w:rsidRPr="00EE5B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ar </w:t>
            </w:r>
            <w:r w:rsidRPr="00EE5B0D">
              <w:rPr>
                <w:rFonts w:ascii="Arial" w:hAnsi="Arial" w:cs="Arial"/>
                <w:bCs/>
                <w:sz w:val="20"/>
                <w:szCs w:val="20"/>
              </w:rPr>
              <w:t>funkcijos reikšmė, išpildymas ar savybė/</w:t>
            </w:r>
          </w:p>
          <w:p w14:paraId="247334C4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5B0D">
              <w:rPr>
                <w:rFonts w:ascii="Arial" w:hAnsi="Arial" w:cs="Arial"/>
                <w:bCs/>
                <w:sz w:val="20"/>
                <w:szCs w:val="20"/>
              </w:rPr>
              <w:t>Parameter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confirming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4B6B541E" w:rsidR="000B657E" w:rsidRPr="00EE5B0D" w:rsidRDefault="000B657E" w:rsidP="009137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5B0D">
              <w:rPr>
                <w:rFonts w:ascii="Arial" w:hAnsi="Arial" w:cs="Arial"/>
                <w:bCs/>
                <w:sz w:val="20"/>
                <w:szCs w:val="20"/>
              </w:rPr>
              <w:t xml:space="preserve">Nuoroda į </w:t>
            </w:r>
            <w:r w:rsidR="001426FF" w:rsidRPr="00EE5B0D">
              <w:rPr>
                <w:rFonts w:ascii="Arial" w:hAnsi="Arial" w:cs="Arial"/>
                <w:bCs/>
                <w:sz w:val="20"/>
                <w:szCs w:val="20"/>
              </w:rPr>
              <w:t>Tiekėjo</w:t>
            </w:r>
            <w:r w:rsidRPr="00EE5B0D">
              <w:rPr>
                <w:rFonts w:ascii="Arial" w:hAnsi="Arial" w:cs="Arial"/>
                <w:bCs/>
                <w:sz w:val="20"/>
                <w:szCs w:val="20"/>
              </w:rPr>
              <w:t xml:space="preserve"> pasiūlymo dokumentus/ Link to </w:t>
            </w:r>
            <w:proofErr w:type="spellStart"/>
            <w:r w:rsidRPr="00EE5B0D">
              <w:rPr>
                <w:rFonts w:ascii="Arial" w:hAnsi="Arial" w:cs="Arial"/>
                <w:bCs/>
                <w:sz w:val="20"/>
                <w:szCs w:val="20"/>
              </w:rPr>
              <w:t>Supplier’s</w:t>
            </w:r>
            <w:proofErr w:type="spellEnd"/>
            <w:r w:rsidRPr="00EE5B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bCs/>
                <w:sz w:val="20"/>
                <w:szCs w:val="20"/>
              </w:rPr>
              <w:t>proposal</w:t>
            </w:r>
            <w:proofErr w:type="spellEnd"/>
            <w:r w:rsidRPr="00EE5B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bCs/>
                <w:sz w:val="20"/>
                <w:szCs w:val="20"/>
              </w:rPr>
              <w:t>documents</w:t>
            </w:r>
            <w:proofErr w:type="spellEnd"/>
          </w:p>
        </w:tc>
      </w:tr>
      <w:tr w:rsidR="000B657E" w:rsidRPr="00EE5B0D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bCs/>
                <w:sz w:val="20"/>
                <w:szCs w:val="20"/>
              </w:rPr>
              <w:t xml:space="preserve">Priedo pavadinimas ar Nr./ </w:t>
            </w:r>
            <w:proofErr w:type="spellStart"/>
            <w:r w:rsidRPr="00EE5B0D">
              <w:rPr>
                <w:rFonts w:ascii="Arial" w:hAnsi="Arial" w:cs="Arial"/>
                <w:bCs/>
                <w:sz w:val="20"/>
                <w:szCs w:val="20"/>
              </w:rPr>
              <w:t>Annex</w:t>
            </w:r>
            <w:proofErr w:type="spellEnd"/>
            <w:r w:rsidRPr="00EE5B0D">
              <w:rPr>
                <w:rFonts w:ascii="Arial" w:hAnsi="Arial" w:cs="Arial"/>
                <w:bCs/>
                <w:sz w:val="20"/>
                <w:szCs w:val="20"/>
              </w:rPr>
              <w:t xml:space="preserve"> name </w:t>
            </w:r>
            <w:proofErr w:type="spellStart"/>
            <w:r w:rsidRPr="00EE5B0D">
              <w:rPr>
                <w:rFonts w:ascii="Arial" w:hAnsi="Arial" w:cs="Arial"/>
                <w:bCs/>
                <w:sz w:val="20"/>
                <w:szCs w:val="20"/>
              </w:rPr>
              <w:t>or</w:t>
            </w:r>
            <w:proofErr w:type="spellEnd"/>
            <w:r w:rsidRPr="00EE5B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3F1A9D" w:rsidRPr="00EE5B0D">
              <w:rPr>
                <w:rFonts w:ascii="Arial" w:hAnsi="Arial" w:cs="Arial"/>
                <w:bCs/>
                <w:sz w:val="20"/>
                <w:szCs w:val="20"/>
              </w:rPr>
              <w:t>o</w:t>
            </w:r>
            <w:proofErr w:type="spellEnd"/>
            <w:r w:rsidRPr="00EE5B0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Psl. Nr./</w:t>
            </w:r>
          </w:p>
          <w:p w14:paraId="0D3B7944" w14:textId="77777777" w:rsidR="000B657E" w:rsidRPr="00EE5B0D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>. No</w:t>
            </w:r>
          </w:p>
        </w:tc>
      </w:tr>
      <w:tr w:rsidR="00EE5B0D" w:rsidRPr="00EE5B0D" w14:paraId="1A6F382B" w14:textId="77777777" w:rsidTr="0041547C">
        <w:trPr>
          <w:cantSplit/>
        </w:trPr>
        <w:tc>
          <w:tcPr>
            <w:tcW w:w="8084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135CE4C2" w:rsidR="00EE5B0D" w:rsidRPr="00EE5B0D" w:rsidRDefault="00EE5B0D" w:rsidP="00EE5B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b/>
                <w:sz w:val="20"/>
                <w:szCs w:val="20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01035" w14:textId="77777777" w:rsidR="00EE5B0D" w:rsidRPr="00EE5B0D" w:rsidRDefault="00EE5B0D" w:rsidP="00EE5B0D">
            <w:pPr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Gaminio žymėjimas/</w:t>
            </w:r>
          </w:p>
          <w:p w14:paraId="733AF880" w14:textId="7C8AAF9F" w:rsidR="00EE5B0D" w:rsidRPr="00EE5B0D" w:rsidRDefault="00EE5B0D" w:rsidP="00EE5B0D">
            <w:pPr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Product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EE5B0D" w:rsidRPr="00EE5B0D" w:rsidRDefault="00EE5B0D" w:rsidP="00EE5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B0D" w:rsidRPr="00EE5B0D" w14:paraId="5C3B0C23" w14:textId="77777777" w:rsidTr="0041547C">
        <w:trPr>
          <w:cantSplit/>
        </w:trPr>
        <w:tc>
          <w:tcPr>
            <w:tcW w:w="8084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EE5B0D" w:rsidRPr="00EE5B0D" w:rsidRDefault="00EE5B0D" w:rsidP="00EE5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6E60C3" w14:textId="77777777" w:rsidR="00EE5B0D" w:rsidRPr="00EE5B0D" w:rsidRDefault="00EE5B0D" w:rsidP="00EE5B0D">
            <w:pPr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Gamintojas/</w:t>
            </w:r>
          </w:p>
          <w:p w14:paraId="2401E508" w14:textId="0A82DAB5" w:rsidR="00EE5B0D" w:rsidRPr="00EE5B0D" w:rsidRDefault="00EE5B0D" w:rsidP="00EE5B0D">
            <w:pPr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EE5B0D" w:rsidRPr="00EE5B0D" w:rsidRDefault="00EE5B0D" w:rsidP="00EE5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B0D" w:rsidRPr="00EE5B0D" w14:paraId="732A4E03" w14:textId="77777777" w:rsidTr="0041547C">
        <w:trPr>
          <w:cantSplit/>
        </w:trPr>
        <w:tc>
          <w:tcPr>
            <w:tcW w:w="8084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EE5B0D" w:rsidRPr="00EE5B0D" w:rsidRDefault="00EE5B0D" w:rsidP="00EE5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9D307A" w14:textId="77777777" w:rsidR="00EE5B0D" w:rsidRPr="00EE5B0D" w:rsidRDefault="00EE5B0D" w:rsidP="00EE5B0D">
            <w:pPr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Pagaminimo šalis/</w:t>
            </w:r>
          </w:p>
          <w:p w14:paraId="47B0394B" w14:textId="6659A81C" w:rsidR="00EE5B0D" w:rsidRPr="00EE5B0D" w:rsidRDefault="00EE5B0D" w:rsidP="00EE5B0D">
            <w:pPr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EE5B0D" w:rsidRPr="00EE5B0D" w:rsidRDefault="00EE5B0D" w:rsidP="00EE5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5B0D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b/>
                <w:sz w:val="20"/>
                <w:szCs w:val="20"/>
              </w:rPr>
              <w:t xml:space="preserve">Standartai:/ </w:t>
            </w:r>
            <w:proofErr w:type="spellStart"/>
            <w:r w:rsidRPr="00EE5B0D">
              <w:rPr>
                <w:rFonts w:ascii="Arial" w:hAnsi="Arial" w:cs="Arial"/>
                <w:b/>
                <w:sz w:val="20"/>
                <w:szCs w:val="20"/>
              </w:rPr>
              <w:t>Standards</w:t>
            </w:r>
            <w:proofErr w:type="spellEnd"/>
            <w:r w:rsidRPr="00EE5B0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1426FF" w:rsidRPr="00EE5B0D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1426FF" w:rsidRPr="00EE5B0D" w:rsidRDefault="001426FF" w:rsidP="001426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Gamintojo kokybės kontrolės valdymo sistema pagal/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ISO 9001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1426FF" w:rsidRPr="00EE5B0D" w:rsidRDefault="001426FF" w:rsidP="001426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Gnybtų charakteristikos, žymėjimai turi atitikti ir bandymai turi būti atlikti pagal/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LST EN 61284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289BF3CD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1426FF" w:rsidRPr="00EE5B0D" w:rsidRDefault="001426FF" w:rsidP="001426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Varžtų, veržlių ir poveržlių matmenys pagal/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ISO 272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1426FF" w:rsidRPr="00EE5B0D" w:rsidRDefault="001426FF" w:rsidP="001426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Varžtų, veržlių ir poveržlių mechaninės savybės ir žymėjimas pagal/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ISO 898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1426FF" w:rsidRPr="00EE5B0D" w:rsidRDefault="001426FF" w:rsidP="001426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Varžtų, veržlių, poveržlių ir fiksavimo kaiščių nerūdijančio plieno markės pagal/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ISO 3506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1426FF" w:rsidRPr="00EE5B0D" w:rsidRDefault="001426FF" w:rsidP="001426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Varžtų, veržlių ir poveržlių dengimas cinku karštuoju būdu pagal/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Bolts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nuts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washers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hot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dip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galvanizing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according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3F872087" w14:textId="6B8FF8B1" w:rsidR="001426FF" w:rsidRPr="00EE5B0D" w:rsidRDefault="001426FF" w:rsidP="001426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LST EN ISO 1461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5B0D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E5B0D">
              <w:rPr>
                <w:rFonts w:ascii="Arial" w:hAnsi="Arial" w:cs="Arial"/>
                <w:b/>
                <w:sz w:val="20"/>
                <w:szCs w:val="20"/>
                <w:lang w:val="en-US"/>
              </w:rPr>
              <w:t>Elektromechaninės</w:t>
            </w:r>
            <w:proofErr w:type="spellEnd"/>
            <w:r w:rsidRPr="00EE5B0D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b/>
                <w:sz w:val="20"/>
                <w:szCs w:val="20"/>
                <w:lang w:val="en-US"/>
              </w:rPr>
              <w:t>charakteristikos</w:t>
            </w:r>
            <w:proofErr w:type="spellEnd"/>
            <w:r w:rsidRPr="00EE5B0D">
              <w:rPr>
                <w:rFonts w:ascii="Arial" w:hAnsi="Arial" w:cs="Arial"/>
                <w:b/>
                <w:sz w:val="20"/>
                <w:szCs w:val="20"/>
                <w:lang w:val="en-US"/>
              </w:rPr>
              <w:t>:/ Electromechanical characteristics:</w:t>
            </w:r>
          </w:p>
        </w:tc>
      </w:tr>
      <w:tr w:rsidR="001426FF" w:rsidRPr="00EE5B0D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Aukščiausia ilgalaikė temperatūra ne žemesnė kaip/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Highest long term temperature shall be not smaller than</w:t>
            </w:r>
            <w:r w:rsidRPr="00EE5B0D">
              <w:rPr>
                <w:rFonts w:ascii="Arial" w:hAnsi="Arial" w:cs="Arial"/>
                <w:sz w:val="20"/>
                <w:szCs w:val="20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+80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FEB1AE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Aukščiausia temperatūra trumpojo jungimo metu ne žemesnė kaip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/ Highest temperature during short-circuit operation shall be not smaller than</w:t>
            </w:r>
            <w:r w:rsidRPr="00EE5B0D">
              <w:rPr>
                <w:rFonts w:ascii="Arial" w:hAnsi="Arial" w:cs="Arial"/>
                <w:sz w:val="20"/>
                <w:szCs w:val="20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+200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Žemiausia temperatūra ne aukštesnė kaip/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Lowest temperature shall not be greater than</w:t>
            </w:r>
            <w:r w:rsidRPr="00EE5B0D">
              <w:rPr>
                <w:rFonts w:ascii="Arial" w:hAnsi="Arial" w:cs="Arial"/>
                <w:sz w:val="20"/>
                <w:szCs w:val="20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-40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1B43D232" w14:textId="487546DA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Vardinė trumpojo jungimo (≥1s) atsparumo srovė </w:t>
            </w:r>
            <w:r w:rsidRPr="00EE5B0D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1)</w:t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Rated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short-time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(≥1s)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withstand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current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(Ik),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4D8DD35A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E3902C" w14:textId="54F20507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color w:val="000000"/>
                <w:sz w:val="20"/>
                <w:szCs w:val="20"/>
              </w:rPr>
              <w:t>≥ 31,5</w:t>
            </w:r>
            <w:r w:rsidRPr="00EE5B0D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Laidininko posūkio kampas/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Conductor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turning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angle, </w:t>
            </w:r>
            <w:r w:rsidRPr="00EE5B0D">
              <w:rPr>
                <w:rFonts w:ascii="Arial" w:hAnsi="Arial" w:cs="Arial"/>
                <w:color w:val="000000"/>
                <w:sz w:val="20"/>
                <w:szCs w:val="20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color w:val="000000"/>
                <w:sz w:val="20"/>
                <w:szCs w:val="20"/>
              </w:rPr>
              <w:t xml:space="preserve">≥ 30 </w:t>
            </w:r>
            <w:r w:rsidRPr="00EE5B0D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Gnybto korpuso medžiaga/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Aliuminio lydinys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alloy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Aliuminio lydinio kietumas pagal EN 1706/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Hardness of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aluminium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 alloy according to EN 1706</w:t>
            </w:r>
            <w:r w:rsidRPr="00EE5B0D">
              <w:rPr>
                <w:rFonts w:ascii="Arial" w:hAnsi="Arial" w:cs="Arial"/>
                <w:sz w:val="20"/>
                <w:szCs w:val="20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≥ 75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Aliuminio lydinio savitoji varža pagal EN 1706/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Resistivity of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aluminium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 alloy according to EN 1706</w:t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nΩ∙m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(20°C)</w:t>
            </w:r>
          </w:p>
        </w:tc>
        <w:tc>
          <w:tcPr>
            <w:tcW w:w="3687" w:type="dxa"/>
            <w:vAlign w:val="center"/>
          </w:tcPr>
          <w:p w14:paraId="16415FF1" w14:textId="4811935E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≤ 60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Varžtų, veržlių, poveržlių medžiaga/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Bolts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nuts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washers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0F0F0F01" w14:textId="2FF417A5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Nerūdijantis arba karštai cinkuotas plienas 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Fiksavimo kaiščių medžiaga/ L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ocking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Nerūdijantis plienas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Stainless steel</w:t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Minimali varžtų, veržlių, poveržlių ir fiksavimo kaiščių  nerūdijančio plieno markė pagal LST EN ISO 3506 standartą/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Minimal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bolts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nuts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washers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locking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pins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stainless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class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according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</w:rPr>
              <w:t xml:space="preserve"> to LST EN ISO 3506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3687" w:type="dxa"/>
            <w:vAlign w:val="center"/>
          </w:tcPr>
          <w:p w14:paraId="5F2E239E" w14:textId="06A534D4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A2 80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1426FF" w:rsidRPr="00EE5B0D" w:rsidRDefault="001426FF" w:rsidP="001426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Minimali varžtų ir veržlių stiprumo klasė pagal ISO 898 standartą/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8.8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6FF" w:rsidRPr="00EE5B0D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1426FF" w:rsidRPr="00EE5B0D" w:rsidRDefault="001426FF" w:rsidP="001426F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 xml:space="preserve">Laido išlaikymo gnybte jėga,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%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nuo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naudojamo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laido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1426FF" w:rsidRPr="00EE5B0D" w:rsidRDefault="001426FF" w:rsidP="001426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</w:rPr>
              <w:t>≥90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239678CD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1426FF" w:rsidRPr="00EE5B0D" w:rsidRDefault="001426FF" w:rsidP="0014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CDB79" w14:textId="77777777" w:rsidR="000D193E" w:rsidRPr="00EE5B0D" w:rsidRDefault="000D193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EE5B0D" w14:paraId="014A2DB6" w14:textId="77777777" w:rsidTr="00A71AC1">
        <w:tc>
          <w:tcPr>
            <w:tcW w:w="15168" w:type="dxa"/>
            <w:vAlign w:val="center"/>
          </w:tcPr>
          <w:p w14:paraId="015D04A4" w14:textId="297DF63E" w:rsidR="00A610CB" w:rsidRPr="00EE5B0D" w:rsidRDefault="00EE5B0D" w:rsidP="00EE5B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5B0D">
              <w:rPr>
                <w:rFonts w:ascii="Arial" w:hAnsi="Arial" w:cs="Arial"/>
                <w:b/>
                <w:sz w:val="20"/>
                <w:szCs w:val="20"/>
              </w:rPr>
              <w:t>Gamintojas gali vadovautis standartais ir sertifikatais lygiaverčiais šiuose reikalavimuose nurodytiems IEC, ISO ir EN standartams/ The manufacturer may</w:t>
            </w:r>
            <w:r w:rsidRPr="00EE5B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5B0D">
              <w:rPr>
                <w:rFonts w:ascii="Arial" w:hAnsi="Arial" w:cs="Arial"/>
                <w:b/>
                <w:sz w:val="20"/>
                <w:szCs w:val="20"/>
              </w:rPr>
              <w:t>follow the standards and certificates equivalent to IEC, ISO and EN standards specified in these requirements.</w:t>
            </w:r>
          </w:p>
          <w:p w14:paraId="37597D4B" w14:textId="77777777" w:rsidR="00EE5B0D" w:rsidRPr="00EE5B0D" w:rsidRDefault="00EE5B0D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87A626" w14:textId="5FBCE73F" w:rsidR="00A610CB" w:rsidRPr="00EE5B0D" w:rsidRDefault="00EE5B0D" w:rsidP="00A610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Tiekėjo</w:t>
            </w:r>
            <w:r w:rsidR="00A610CB" w:rsidRPr="00EE5B0D">
              <w:rPr>
                <w:rFonts w:ascii="Arial" w:hAnsi="Arial" w:cs="Arial"/>
                <w:b/>
                <w:sz w:val="20"/>
                <w:szCs w:val="20"/>
              </w:rPr>
              <w:t xml:space="preserve"> teikiama dokumentacija reikalaujamo parametro atitikimo pagrindimui:/ </w:t>
            </w:r>
            <w:r w:rsidR="00A610CB" w:rsidRPr="00EE5B0D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Documentation provided by the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Supplier</w:t>
            </w:r>
            <w:r w:rsidR="00A610CB" w:rsidRPr="00EE5B0D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to justify required parameter of the equipment:</w:t>
            </w:r>
          </w:p>
          <w:p w14:paraId="36FDDDD7" w14:textId="77777777" w:rsidR="00A610CB" w:rsidRPr="00EE5B0D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Pr="00EE5B0D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EE5B0D">
              <w:rPr>
                <w:rFonts w:ascii="Arial" w:eastAsia="TTE2t00" w:hAnsi="Arial" w:cs="Arial"/>
                <w:sz w:val="20"/>
                <w:szCs w:val="20"/>
                <w:lang w:val="en-US"/>
              </w:rPr>
              <w:t>-</w:t>
            </w:r>
            <w:r w:rsidRPr="00EE5B0D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Įrenginio gamintojo katalogo ir/ar techninių parametrų suvestinės, ir/ar brėžinio kopija/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EE5B0D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5B0D">
              <w:rPr>
                <w:rFonts w:ascii="Arial" w:hAnsi="Arial" w:cs="Arial"/>
                <w:sz w:val="20"/>
                <w:szCs w:val="20"/>
                <w:vertAlign w:val="superscript"/>
              </w:rPr>
              <w:t>b)</w:t>
            </w:r>
            <w:r w:rsidRPr="00EE5B0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E5B0D">
              <w:rPr>
                <w:rFonts w:ascii="Arial" w:hAnsi="Arial" w:cs="Arial"/>
                <w:sz w:val="20"/>
                <w:szCs w:val="20"/>
              </w:rPr>
              <w:tab/>
              <w:t>Sertifikato kopija/ C</w:t>
            </w:r>
            <w:proofErr w:type="spellStart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opy</w:t>
            </w:r>
            <w:proofErr w:type="spellEnd"/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 xml:space="preserve"> of certificate;</w:t>
            </w:r>
          </w:p>
          <w:p w14:paraId="290D3684" w14:textId="4F056C01" w:rsidR="00A610CB" w:rsidRPr="00EE5B0D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B0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c)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ab/>
              <w:t>-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Gamintojo atitikties deklaracija/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Manufacturer’s declaration of conformity.</w:t>
            </w:r>
          </w:p>
          <w:p w14:paraId="7AF13872" w14:textId="77777777" w:rsidR="00A610CB" w:rsidRPr="00EE5B0D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5B0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d)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ab/>
              <w:t>-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EE5B0D">
              <w:rPr>
                <w:rFonts w:ascii="Arial" w:hAnsi="Arial" w:cs="Arial"/>
                <w:sz w:val="20"/>
                <w:szCs w:val="20"/>
              </w:rPr>
              <w:t xml:space="preserve">Tipo bandymų protokolo kopija/ </w:t>
            </w:r>
            <w:r w:rsidRPr="00EE5B0D">
              <w:rPr>
                <w:rFonts w:ascii="Arial" w:hAnsi="Arial" w:cs="Arial"/>
                <w:sz w:val="20"/>
                <w:szCs w:val="20"/>
                <w:lang w:val="en-US"/>
              </w:rPr>
              <w:t>Type test protocol copy.</w:t>
            </w:r>
          </w:p>
          <w:p w14:paraId="0EFFAADA" w14:textId="5AF30B3B" w:rsidR="001220FF" w:rsidRPr="00EE5B0D" w:rsidRDefault="001220FF" w:rsidP="00A610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1E0849" w14:textId="2FDD7904" w:rsidR="000C3440" w:rsidRPr="00EE5B0D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EE5B0D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17B99" w14:textId="77777777" w:rsidR="00773BD4" w:rsidRDefault="00773BD4" w:rsidP="009137D7">
      <w:r>
        <w:separator/>
      </w:r>
    </w:p>
  </w:endnote>
  <w:endnote w:type="continuationSeparator" w:id="0">
    <w:p w14:paraId="0599C2CE" w14:textId="77777777" w:rsidR="00773BD4" w:rsidRDefault="00773BD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2652F7A3" w:rsidR="00EE5B0D" w:rsidRDefault="00EE5B0D" w:rsidP="00EE5B0D"/>
      <w:p w14:paraId="73340F46" w14:textId="33C15518" w:rsidR="008F7340" w:rsidRPr="000D24D4" w:rsidRDefault="0000000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02A1B" w14:textId="77777777" w:rsidR="00773BD4" w:rsidRDefault="00773BD4" w:rsidP="009137D7">
      <w:r>
        <w:separator/>
      </w:r>
    </w:p>
  </w:footnote>
  <w:footnote w:type="continuationSeparator" w:id="0">
    <w:p w14:paraId="3A16EC8E" w14:textId="77777777" w:rsidR="00773BD4" w:rsidRDefault="00773BD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163678">
    <w:abstractNumId w:val="9"/>
  </w:num>
  <w:num w:numId="2" w16cid:durableId="461122179">
    <w:abstractNumId w:val="3"/>
  </w:num>
  <w:num w:numId="3" w16cid:durableId="1229421519">
    <w:abstractNumId w:val="4"/>
  </w:num>
  <w:num w:numId="4" w16cid:durableId="1305087946">
    <w:abstractNumId w:val="16"/>
  </w:num>
  <w:num w:numId="5" w16cid:durableId="1352608971">
    <w:abstractNumId w:val="2"/>
  </w:num>
  <w:num w:numId="6" w16cid:durableId="1003241328">
    <w:abstractNumId w:val="13"/>
  </w:num>
  <w:num w:numId="7" w16cid:durableId="1425951188">
    <w:abstractNumId w:val="14"/>
  </w:num>
  <w:num w:numId="8" w16cid:durableId="465779267">
    <w:abstractNumId w:val="24"/>
  </w:num>
  <w:num w:numId="9" w16cid:durableId="613051900">
    <w:abstractNumId w:val="26"/>
  </w:num>
  <w:num w:numId="10" w16cid:durableId="1856727700">
    <w:abstractNumId w:val="7"/>
  </w:num>
  <w:num w:numId="11" w16cid:durableId="1979334825">
    <w:abstractNumId w:val="27"/>
  </w:num>
  <w:num w:numId="12" w16cid:durableId="1821191048">
    <w:abstractNumId w:val="18"/>
  </w:num>
  <w:num w:numId="13" w16cid:durableId="1582836069">
    <w:abstractNumId w:val="6"/>
  </w:num>
  <w:num w:numId="14" w16cid:durableId="980886858">
    <w:abstractNumId w:val="12"/>
  </w:num>
  <w:num w:numId="15" w16cid:durableId="1028675273">
    <w:abstractNumId w:val="17"/>
  </w:num>
  <w:num w:numId="16" w16cid:durableId="1693148882">
    <w:abstractNumId w:val="20"/>
  </w:num>
  <w:num w:numId="17" w16cid:durableId="753169650">
    <w:abstractNumId w:val="0"/>
  </w:num>
  <w:num w:numId="18" w16cid:durableId="661815225">
    <w:abstractNumId w:val="30"/>
  </w:num>
  <w:num w:numId="19" w16cid:durableId="458301106">
    <w:abstractNumId w:val="23"/>
  </w:num>
  <w:num w:numId="20" w16cid:durableId="316959989">
    <w:abstractNumId w:val="28"/>
  </w:num>
  <w:num w:numId="21" w16cid:durableId="804197743">
    <w:abstractNumId w:val="22"/>
  </w:num>
  <w:num w:numId="22" w16cid:durableId="2136437501">
    <w:abstractNumId w:val="1"/>
  </w:num>
  <w:num w:numId="23" w16cid:durableId="54859485">
    <w:abstractNumId w:val="10"/>
  </w:num>
  <w:num w:numId="24" w16cid:durableId="1647081225">
    <w:abstractNumId w:val="11"/>
  </w:num>
  <w:num w:numId="25" w16cid:durableId="388766784">
    <w:abstractNumId w:val="5"/>
  </w:num>
  <w:num w:numId="26" w16cid:durableId="2060323786">
    <w:abstractNumId w:val="29"/>
  </w:num>
  <w:num w:numId="27" w16cid:durableId="1269851051">
    <w:abstractNumId w:val="21"/>
  </w:num>
  <w:num w:numId="28" w16cid:durableId="160583837">
    <w:abstractNumId w:val="25"/>
  </w:num>
  <w:num w:numId="29" w16cid:durableId="1290741062">
    <w:abstractNumId w:val="19"/>
  </w:num>
  <w:num w:numId="30" w16cid:durableId="108011198">
    <w:abstractNumId w:val="15"/>
  </w:num>
  <w:num w:numId="31" w16cid:durableId="18464324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0E8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26FF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40C2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2DAD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3BD4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61D8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97898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5A62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04CCC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4B2C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2F9F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5B0D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Vaidotas Rukša</cp:lastModifiedBy>
  <cp:revision>68</cp:revision>
  <cp:lastPrinted>2019-11-13T13:11:00Z</cp:lastPrinted>
  <dcterms:created xsi:type="dcterms:W3CDTF">2020-01-22T13:27:00Z</dcterms:created>
  <dcterms:modified xsi:type="dcterms:W3CDTF">2025-05-15T11:53:00Z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2025-04-15T10:58:08Z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c2527a8a-3f3d-4ec7-b66c-17ab6d2be8d6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